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drawingml.chart+xml" PartName="/word/charts/chart1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Расчет экономической эффективности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Затраты на разработку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rPr>
          <w:color w:val="c00000"/>
        </w:rPr>
      </w:pPr>
      <w:r w:rsidDel="00000000" w:rsidR="00000000" w:rsidRPr="00000000">
        <w:rPr>
          <w:rtl w:val="0"/>
        </w:rPr>
        <w:t xml:space="preserve">Средний оклад заработной платы разработчика согласно hh.ru составляет </w:t>
      </w:r>
      <w:r w:rsidDel="00000000" w:rsidR="00000000" w:rsidRPr="00000000">
        <w:rPr>
          <w:color w:val="c00000"/>
          <w:rtl w:val="0"/>
        </w:rPr>
        <w:t xml:space="preserve">50 000 р/мес</w:t>
      </w:r>
    </w:p>
    <w:p w:rsidR="00000000" w:rsidDel="00000000" w:rsidP="00000000" w:rsidRDefault="00000000" w:rsidRPr="00000000" w14:paraId="00000004">
      <w:pPr>
        <w:rPr>
          <w:color w:val="c00000"/>
        </w:rPr>
      </w:pPr>
      <w:r w:rsidDel="00000000" w:rsidR="00000000" w:rsidRPr="00000000">
        <w:rPr>
          <w:rtl w:val="0"/>
        </w:rPr>
        <w:t xml:space="preserve">Среднее количество рабочих часов в месяц </w:t>
      </w:r>
      <w:r w:rsidDel="00000000" w:rsidR="00000000" w:rsidRPr="00000000">
        <w:rPr>
          <w:color w:val="c00000"/>
          <w:rtl w:val="0"/>
        </w:rPr>
        <w:t xml:space="preserve">176 </w:t>
      </w:r>
    </w:p>
    <w:p w:rsidR="00000000" w:rsidDel="00000000" w:rsidP="00000000" w:rsidRDefault="00000000" w:rsidRPr="00000000" w14:paraId="00000005">
      <w:pPr>
        <w:rPr>
          <w:color w:val="c00000"/>
        </w:rPr>
      </w:pPr>
      <w:r w:rsidDel="00000000" w:rsidR="00000000" w:rsidRPr="00000000">
        <w:rPr>
          <w:rtl w:val="0"/>
        </w:rPr>
        <w:t xml:space="preserve">Количество часов, затраченных разработчиком </w:t>
      </w:r>
      <w:r w:rsidDel="00000000" w:rsidR="00000000" w:rsidRPr="00000000">
        <w:rPr>
          <w:color w:val="c00000"/>
          <w:rtl w:val="0"/>
        </w:rPr>
        <w:t xml:space="preserve">– 50  ч</w:t>
      </w:r>
    </w:p>
    <w:p w:rsidR="00000000" w:rsidDel="00000000" w:rsidP="00000000" w:rsidRDefault="00000000" w:rsidRPr="00000000" w14:paraId="00000006">
      <w:pPr>
        <w:rPr>
          <w:i w:val="1"/>
          <w:color w:val="c00000"/>
        </w:rPr>
      </w:pPr>
      <w:r w:rsidDel="00000000" w:rsidR="00000000" w:rsidRPr="00000000">
        <w:rPr>
          <w:color w:val="c00000"/>
          <w:rtl w:val="0"/>
        </w:rPr>
        <w:t xml:space="preserve">Накладные расходы (</w:t>
      </w:r>
      <w:r w:rsidDel="00000000" w:rsidR="00000000" w:rsidRPr="00000000">
        <w:rPr>
          <w:i w:val="1"/>
          <w:color w:val="c00000"/>
          <w:rtl w:val="0"/>
        </w:rPr>
        <w:t xml:space="preserve">Накладные расходы - это затраты организации, которые напрямую не связаны с основным производством. Накладные расходы в смете включают в себя, в частности: аренду и содержание помещений; амортизацию основных средств; заработную плату административно-управленческого персонала; создание нормальных условий труда; затраты на рекламу; оплату информационных, консультационных, юридических услуг,....) </w:t>
      </w:r>
    </w:p>
    <w:p w:rsidR="00000000" w:rsidDel="00000000" w:rsidP="00000000" w:rsidRDefault="00000000" w:rsidRPr="00000000" w14:paraId="00000007">
      <w:pPr>
        <w:rPr>
          <w:color w:val="c00000"/>
        </w:rPr>
      </w:pPr>
      <w:r w:rsidDel="00000000" w:rsidR="00000000" w:rsidRPr="00000000">
        <w:rPr>
          <w:rtl w:val="0"/>
        </w:rPr>
        <w:t xml:space="preserve">Стоимость программного обеспечения</w:t>
      </w:r>
      <w:r w:rsidDel="00000000" w:rsidR="00000000" w:rsidRPr="00000000">
        <w:rPr>
          <w:color w:val="c00000"/>
          <w:rtl w:val="0"/>
        </w:rPr>
        <w:t xml:space="preserve"> - ххххх руб.</w:t>
      </w:r>
    </w:p>
    <w:tbl>
      <w:tblPr>
        <w:tblStyle w:val="Table1"/>
        <w:tblW w:w="9432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5020"/>
        <w:gridCol w:w="1446"/>
        <w:gridCol w:w="2471"/>
        <w:tblGridChange w:id="0">
          <w:tblGrid>
            <w:gridCol w:w="495"/>
            <w:gridCol w:w="5020"/>
            <w:gridCol w:w="1446"/>
            <w:gridCol w:w="247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Статья затрат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%</w:t>
            </w:r>
          </w:p>
        </w:tc>
        <w:tc>
          <w:tcPr>
            <w:shd w:fill="ffff00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Затраты, руб.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Фонд оплаты труда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ffff00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35298,25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righ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1.1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Rule="auto"/>
              <w:jc w:val="righ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Оклад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14204,55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righ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1.2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jc w:val="righ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районный коэффициент (1.1*0,15)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15% от оклада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6392,00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Rule="auto"/>
              <w:jc w:val="righ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1.3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Rule="auto"/>
              <w:jc w:val="righ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социальные отчисления(1,1+1,2)*0,3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30% от оклада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14701,70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Накладные расходы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80% от оклада</w:t>
            </w:r>
          </w:p>
        </w:tc>
        <w:tc>
          <w:tcPr>
            <w:shd w:fill="ffff00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34090,90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Стоимость ПО 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ffff00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16000,00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24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shd w:fill="92d050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ИТОГО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6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shd w:fill="92d050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85389,15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Затраты организации на процесс:</w:t>
      </w:r>
    </w:p>
    <w:p w:rsidR="00000000" w:rsidDel="00000000" w:rsidP="00000000" w:rsidRDefault="00000000" w:rsidRPr="00000000" w14:paraId="0000002B">
      <w:pPr>
        <w:rPr>
          <w:color w:val="c00000"/>
        </w:rPr>
      </w:pPr>
      <w:r w:rsidDel="00000000" w:rsidR="00000000" w:rsidRPr="00000000">
        <w:rPr>
          <w:rtl w:val="0"/>
        </w:rPr>
        <w:t xml:space="preserve">Оклад менеджера составляет </w:t>
      </w:r>
      <w:r w:rsidDel="00000000" w:rsidR="00000000" w:rsidRPr="00000000">
        <w:rPr>
          <w:color w:val="c00000"/>
          <w:rtl w:val="0"/>
        </w:rPr>
        <w:t xml:space="preserve">20 000 р/ мес</w:t>
      </w:r>
    </w:p>
    <w:p w:rsidR="00000000" w:rsidDel="00000000" w:rsidP="00000000" w:rsidRDefault="00000000" w:rsidRPr="00000000" w14:paraId="0000002C">
      <w:pPr>
        <w:rPr>
          <w:color w:val="c00000"/>
        </w:rPr>
      </w:pPr>
      <w:r w:rsidDel="00000000" w:rsidR="00000000" w:rsidRPr="00000000">
        <w:rPr>
          <w:rtl w:val="0"/>
        </w:rPr>
        <w:t xml:space="preserve">Оклад руководителя составляет </w:t>
      </w:r>
      <w:r w:rsidDel="00000000" w:rsidR="00000000" w:rsidRPr="00000000">
        <w:rPr>
          <w:color w:val="c00000"/>
          <w:rtl w:val="0"/>
        </w:rPr>
        <w:t xml:space="preserve">40 000 р/ мес</w:t>
      </w:r>
    </w:p>
    <w:p w:rsidR="00000000" w:rsidDel="00000000" w:rsidP="00000000" w:rsidRDefault="00000000" w:rsidRPr="00000000" w14:paraId="0000002D">
      <w:pPr>
        <w:rPr>
          <w:color w:val="c00000"/>
        </w:rPr>
      </w:pPr>
      <w:r w:rsidDel="00000000" w:rsidR="00000000" w:rsidRPr="00000000">
        <w:rPr>
          <w:rtl w:val="0"/>
        </w:rPr>
        <w:t xml:space="preserve">Среднее количество рабочих часов в месяц </w:t>
      </w:r>
      <w:r w:rsidDel="00000000" w:rsidR="00000000" w:rsidRPr="00000000">
        <w:rPr>
          <w:color w:val="c00000"/>
          <w:rtl w:val="0"/>
        </w:rPr>
        <w:t xml:space="preserve">176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Ежемесячная экономия затрат на оплату труда при выполнении бизнес-процесса составляет </w:t>
      </w:r>
    </w:p>
    <w:tbl>
      <w:tblPr>
        <w:tblStyle w:val="Table2"/>
        <w:tblW w:w="10099.0" w:type="dxa"/>
        <w:jc w:val="left"/>
        <w:tblInd w:w="93.0" w:type="dxa"/>
        <w:tblLayout w:type="fixed"/>
        <w:tblLook w:val="0400"/>
      </w:tblPr>
      <w:tblGrid>
        <w:gridCol w:w="3417"/>
        <w:gridCol w:w="1523"/>
        <w:gridCol w:w="1029"/>
        <w:gridCol w:w="850"/>
        <w:gridCol w:w="1760"/>
        <w:gridCol w:w="1520"/>
        <w:tblGridChange w:id="0">
          <w:tblGrid>
            <w:gridCol w:w="3417"/>
            <w:gridCol w:w="1523"/>
            <w:gridCol w:w="1029"/>
            <w:gridCol w:w="850"/>
            <w:gridCol w:w="1760"/>
            <w:gridCol w:w="152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Наименование работы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исполнитель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Длительность операции, час./мес.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стоимость часа, руб.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Экономия, руб./мес.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до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после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Загрузка данных в систему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менеджер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1590,91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Анализ загруженных данных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менеджер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1818,18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Формирование отчета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менеджер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113,64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454,55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Проверка отчета о деятельности торговых точек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руководитель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454,55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Утверждение Отчета/Отклонение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руководитель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227,27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4545,45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Расчет ежемесячной экономии затрат вследствие внедрения ПО</w:t>
      </w:r>
    </w:p>
    <w:tbl>
      <w:tblPr>
        <w:tblStyle w:val="Table3"/>
        <w:tblW w:w="8020.0" w:type="dxa"/>
        <w:jc w:val="left"/>
        <w:tblInd w:w="93.0" w:type="dxa"/>
        <w:tblLayout w:type="fixed"/>
        <w:tblLook w:val="0400"/>
      </w:tblPr>
      <w:tblGrid>
        <w:gridCol w:w="960"/>
        <w:gridCol w:w="4140"/>
        <w:gridCol w:w="1400"/>
        <w:gridCol w:w="1520"/>
        <w:tblGridChange w:id="0">
          <w:tblGrid>
            <w:gridCol w:w="960"/>
            <w:gridCol w:w="4140"/>
            <w:gridCol w:w="1400"/>
            <w:gridCol w:w="152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Статья затрат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Экономия затрат, руб./мес.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Фонд оплаты труда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6590,91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4545,45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районный коэффициент (1.1*0,15)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15% от оклада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681,82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социальные отчисления(1,1+1,2)*0,3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30% от оклада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1363,64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Накладные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80% от оклада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3636,36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10227,27</w:t>
            </w:r>
          </w:p>
        </w:tc>
      </w:tr>
    </w:tbl>
    <w:p w:rsidR="00000000" w:rsidDel="00000000" w:rsidP="00000000" w:rsidRDefault="00000000" w:rsidRPr="00000000" w14:paraId="0000007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ab/>
        <w:t xml:space="preserve">Срок окупаемости продукта с момента внедрения: 85389,15/10227,27 = 8,35 (мес.)</w:t>
      </w:r>
    </w:p>
    <w:tbl>
      <w:tblPr>
        <w:tblStyle w:val="Table4"/>
        <w:tblW w:w="8446.0" w:type="dxa"/>
        <w:jc w:val="left"/>
        <w:tblInd w:w="103.0" w:type="dxa"/>
        <w:tblLayout w:type="fixed"/>
        <w:tblLook w:val="0400"/>
      </w:tblPr>
      <w:tblGrid>
        <w:gridCol w:w="960"/>
        <w:gridCol w:w="1300"/>
        <w:gridCol w:w="1320"/>
        <w:gridCol w:w="1840"/>
        <w:gridCol w:w="1513"/>
        <w:gridCol w:w="1513"/>
        <w:tblGridChange w:id="0">
          <w:tblGrid>
            <w:gridCol w:w="960"/>
            <w:gridCol w:w="1300"/>
            <w:gridCol w:w="1320"/>
            <w:gridCol w:w="1840"/>
            <w:gridCol w:w="1513"/>
            <w:gridCol w:w="1513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Затраты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Накопленный чистый денежный </w:t>
            </w:r>
            <w:r w:rsidDel="00000000" w:rsidR="00000000" w:rsidRPr="00000000">
              <w:rPr>
                <w:rtl w:val="0"/>
              </w:rPr>
              <w:t xml:space="preserve">доход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приведенный доход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Накопленный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приведенный чистый денежный </w:t>
            </w:r>
            <w:r w:rsidDel="00000000" w:rsidR="00000000" w:rsidRPr="00000000">
              <w:rPr>
                <w:rtl w:val="0"/>
              </w:rPr>
              <w:t xml:space="preserve">доход (NPV)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85389,15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-85389,15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-85389,15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-75161,87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10117,37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-75271,77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-64934,60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10062,86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-65208,91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-54707,33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10008,65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-55200,26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-44480,05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9954,73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-45245,53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-34252,78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9901,10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-35344,43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-24025,51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9847,76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-25496,68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-13798,24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9794,70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-15701,98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-3570,96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9741,93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-5960,04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6656,31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9689,45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3729,40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16883,58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9637,25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13366,65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27110,85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9585,33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22951,98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37338,13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9533,68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32485,66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47565,40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9482,32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41967,98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57792,67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9431,24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51399,22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68019,95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9380,43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60779,65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78247,22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9329,89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70109,53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88474,49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9279,62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79389,16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98701,76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9229,63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88618,79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108929,04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9179,91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97798,70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10227,27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119156,31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9130,45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106929,14</w:t>
            </w:r>
          </w:p>
        </w:tc>
      </w:tr>
    </w:tbl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ставка дисконтирования - 6,5% годовых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/>
        <w:drawing>
          <wp:inline distB="0" distT="0" distL="0" distR="0">
            <wp:extent cx="5940425" cy="3815545"/>
            <wp:docPr id="2" name=""/>
            <a:graphic>
              <a:graphicData uri="http://schemas.openxmlformats.org/drawingml/2006/chart">
                <c:chart r:id="rId7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Метрики эффекта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трудоемкость  бизнес-процесса: сократилась с 57  до 20 человеко-часов/месяц.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ежемесячные затраты: сократились 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10227,27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80A5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A2899"/>
    <w:pPr>
      <w:ind w:left="720"/>
      <w:contextualSpacing w:val="1"/>
    </w:pPr>
  </w:style>
  <w:style w:type="table" w:styleId="a4">
    <w:name w:val="Table Grid"/>
    <w:basedOn w:val="a1"/>
    <w:uiPriority w:val="39"/>
    <w:rsid w:val="00354A7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semiHidden w:val="1"/>
    <w:unhideWhenUsed w:val="1"/>
    <w:rsid w:val="006C0BB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 w:val="1"/>
    <w:unhideWhenUsed w:val="1"/>
    <w:rsid w:val="006C0B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887CE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887CE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chart" Target="charts/chart1.xml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one\Documents\&#1087;&#1077;&#1088;&#1077;&#1087;&#1086;&#1076;&#1075;&#1086;&#1090;&#1086;&#1074;&#1082;&#1072;\&#1056;&#1072;&#1089;&#1095;&#1077;&#1090;%20&#1086;&#1082;&#1091;&#1087;&#1072;&#1077;&#1084;&#1086;&#1089;&#1090;&#1080;_&#1074;&#1072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248478465852734"/>
          <c:y val="3.2615075657915688E-2"/>
          <c:w val="0.83834470146908213"/>
          <c:h val="0.92831302866802667"/>
        </c:manualLayout>
      </c:layout>
      <c:scatterChart>
        <c:scatterStyle val="lineMarker"/>
        <c:ser>
          <c:idx val="0"/>
          <c:order val="0"/>
          <c:marker>
            <c:symbol val="none"/>
          </c:marker>
          <c:xVal>
            <c:numRef>
              <c:f>'Расчет для собственной разраб.'!$B$4:$B$25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xVal>
          <c:yVal>
            <c:numRef>
              <c:f>'Расчет для собственной разраб.'!$E$4:$E$25</c:f>
              <c:numCache>
                <c:formatCode>0.00</c:formatCode>
                <c:ptCount val="22"/>
                <c:pt idx="0">
                  <c:v>0</c:v>
                </c:pt>
                <c:pt idx="1">
                  <c:v>-85389.145454545462</c:v>
                </c:pt>
                <c:pt idx="2">
                  <c:v>-75161.872727272712</c:v>
                </c:pt>
                <c:pt idx="3">
                  <c:v>-64934.6</c:v>
                </c:pt>
                <c:pt idx="4">
                  <c:v>-54707.327272727271</c:v>
                </c:pt>
                <c:pt idx="5">
                  <c:v>-44480.05454545455</c:v>
                </c:pt>
                <c:pt idx="6">
                  <c:v>-34252.781818181815</c:v>
                </c:pt>
                <c:pt idx="7">
                  <c:v>-24025.509090909087</c:v>
                </c:pt>
                <c:pt idx="8">
                  <c:v>-13798.236363636363</c:v>
                </c:pt>
                <c:pt idx="9">
                  <c:v>-3570.9636363636346</c:v>
                </c:pt>
                <c:pt idx="10">
                  <c:v>6656.3090909090924</c:v>
                </c:pt>
                <c:pt idx="11">
                  <c:v>16883.581818181821</c:v>
                </c:pt>
                <c:pt idx="12">
                  <c:v>27110.854545454546</c:v>
                </c:pt>
                <c:pt idx="13">
                  <c:v>37338.127272727274</c:v>
                </c:pt>
                <c:pt idx="14">
                  <c:v>47565.4</c:v>
                </c:pt>
                <c:pt idx="15">
                  <c:v>57792.672727272729</c:v>
                </c:pt>
                <c:pt idx="16">
                  <c:v>68019.94545454545</c:v>
                </c:pt>
                <c:pt idx="17">
                  <c:v>78247.218181818171</c:v>
                </c:pt>
                <c:pt idx="18">
                  <c:v>88474.490909090877</c:v>
                </c:pt>
                <c:pt idx="19">
                  <c:v>98701.763636363597</c:v>
                </c:pt>
                <c:pt idx="20">
                  <c:v>108929.03636363633</c:v>
                </c:pt>
                <c:pt idx="21">
                  <c:v>119156.30909090905</c:v>
                </c:pt>
              </c:numCache>
            </c:numRef>
          </c:yVal>
        </c:ser>
        <c:ser>
          <c:idx val="1"/>
          <c:order val="1"/>
          <c:marker>
            <c:symbol val="none"/>
          </c:marker>
          <c:xVal>
            <c:numRef>
              <c:f>'Расчет для собственной разраб.'!$B$4:$B$25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xVal>
          <c:yVal>
            <c:numRef>
              <c:f>'Расчет для собственной разраб.'!$G$4:$G$25</c:f>
              <c:numCache>
                <c:formatCode>0.00</c:formatCode>
                <c:ptCount val="22"/>
                <c:pt idx="0">
                  <c:v>0</c:v>
                </c:pt>
                <c:pt idx="1">
                  <c:v>-85389.145454545462</c:v>
                </c:pt>
                <c:pt idx="2">
                  <c:v>-75271.774426552336</c:v>
                </c:pt>
                <c:pt idx="3">
                  <c:v>-65208.910577740266</c:v>
                </c:pt>
                <c:pt idx="4">
                  <c:v>-55200.260251528511</c:v>
                </c:pt>
                <c:pt idx="5">
                  <c:v>-45245.531373406593</c:v>
                </c:pt>
                <c:pt idx="6">
                  <c:v>-35344.433442410882</c:v>
                </c:pt>
                <c:pt idx="7">
                  <c:v>-25496.677522647242</c:v>
                </c:pt>
                <c:pt idx="8">
                  <c:v>-15701.976234859121</c:v>
                </c:pt>
                <c:pt idx="9">
                  <c:v>-5960.0437480412593</c:v>
                </c:pt>
                <c:pt idx="10">
                  <c:v>3729.404228901496</c:v>
                </c:pt>
                <c:pt idx="11">
                  <c:v>13366.650455450444</c:v>
                </c:pt>
                <c:pt idx="12">
                  <c:v>22951.976167724581</c:v>
                </c:pt>
                <c:pt idx="13">
                  <c:v>32485.661086687658</c:v>
                </c:pt>
                <c:pt idx="14">
                  <c:v>41967.983426311104</c:v>
                </c:pt>
                <c:pt idx="15">
                  <c:v>51399.219901692915</c:v>
                </c:pt>
                <c:pt idx="16">
                  <c:v>60779.645737132756</c:v>
                </c:pt>
                <c:pt idx="17">
                  <c:v>70109.53467416366</c:v>
                </c:pt>
                <c:pt idx="18">
                  <c:v>79389.158979540473</c:v>
                </c:pt>
                <c:pt idx="19">
                  <c:v>88618.789453185047</c:v>
                </c:pt>
                <c:pt idx="20">
                  <c:v>97798.695436088878</c:v>
                </c:pt>
                <c:pt idx="21">
                  <c:v>106929.14481817307</c:v>
                </c:pt>
              </c:numCache>
            </c:numRef>
          </c:yVal>
        </c:ser>
        <c:axId val="101969920"/>
        <c:axId val="101971456"/>
      </c:scatterChart>
      <c:valAx>
        <c:axId val="101969920"/>
        <c:scaling>
          <c:orientation val="minMax"/>
        </c:scaling>
        <c:axPos val="b"/>
        <c:numFmt formatCode="General" sourceLinked="1"/>
        <c:tickLblPos val="nextTo"/>
        <c:crossAx val="101971456"/>
        <c:crosses val="autoZero"/>
        <c:crossBetween val="midCat"/>
        <c:majorUnit val="1"/>
      </c:valAx>
      <c:valAx>
        <c:axId val="101971456"/>
        <c:scaling>
          <c:orientation val="minMax"/>
        </c:scaling>
        <c:axPos val="l"/>
        <c:majorGridlines/>
        <c:numFmt formatCode="0.00" sourceLinked="1"/>
        <c:tickLblPos val="nextTo"/>
        <c:crossAx val="10196992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JMisMhrpaptVnHd6Gru8mgTug==">AMUW2mVY1Fa5TsLVJSMjrkuOLMzgP3Wb205p3dcqORHsMeAn74MjZEW0D54kmX9YxTHNqJzuJpETv8bKGvErIkAKJ8mqWK5rlrJ5z7l2qF8Flj9Lg9PtWw0=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2021-09-16T17:56:00Z</dcterms:created>
  <dc:creator>Анжелика</dc:creator>
</cp:coreProperties>
</file>